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37DDD986" w:rsidR="00D309CC" w:rsidRDefault="00EA5EAF" w:rsidP="00D46431">
      <w:pPr>
        <w:pStyle w:val="CH"/>
      </w:pPr>
      <w:bookmarkStart w:id="0" w:name="historyclause"/>
      <w:r w:rsidRPr="009F0E8D">
        <w:t>3GPP RAN WG4 Meeting #9</w:t>
      </w:r>
      <w:r>
        <w:t>8-e</w:t>
      </w:r>
      <w:r w:rsidR="00D309CC">
        <w:tab/>
      </w:r>
      <w:r w:rsidR="00D46431">
        <w:tab/>
      </w:r>
      <w:r w:rsidR="00DA0655" w:rsidRPr="00DA0655">
        <w:t>R4-2100514</w:t>
      </w:r>
    </w:p>
    <w:p w14:paraId="50DC9730" w14:textId="779054EC" w:rsidR="00D309CC" w:rsidRPr="00FD166F" w:rsidRDefault="00EA5EAF" w:rsidP="00D46431">
      <w:pPr>
        <w:pStyle w:val="CH"/>
        <w:tabs>
          <w:tab w:val="clear" w:pos="7920"/>
        </w:tabs>
        <w:rPr>
          <w:b w:val="0"/>
        </w:rPr>
      </w:pPr>
      <w:r w:rsidRPr="005B0B43">
        <w:t xml:space="preserve">Electronic meeting, </w:t>
      </w:r>
      <w:r>
        <w:t xml:space="preserve">25th </w:t>
      </w:r>
      <w:r w:rsidRPr="00472271">
        <w:t>Jan</w:t>
      </w:r>
      <w:r>
        <w:t xml:space="preserve">uary – 5th </w:t>
      </w:r>
      <w:r w:rsidRPr="00472271">
        <w:t>Feb</w:t>
      </w:r>
      <w:r>
        <w:t>ruary</w:t>
      </w:r>
      <w:r w:rsidRPr="00472271">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437CBE6B" w:rsidR="00D309CC" w:rsidRPr="0008103A" w:rsidRDefault="00D309CC" w:rsidP="00D309CC">
      <w:pPr>
        <w:pStyle w:val="CH"/>
        <w:rPr>
          <w:b w:val="0"/>
        </w:rPr>
      </w:pPr>
      <w:r w:rsidRPr="0008103A">
        <w:t>Agenda item:</w:t>
      </w:r>
      <w:r>
        <w:tab/>
      </w:r>
      <w:r w:rsidR="00EA5EAF">
        <w:t>9.35</w:t>
      </w:r>
    </w:p>
    <w:p w14:paraId="4DBE005A" w14:textId="77777777" w:rsidR="00D309CC" w:rsidRPr="0008103A" w:rsidRDefault="00D309CC" w:rsidP="00D309CC">
      <w:pPr>
        <w:pStyle w:val="CH"/>
        <w:rPr>
          <w:b w:val="0"/>
        </w:rPr>
      </w:pPr>
      <w:r>
        <w:t>Source:</w:t>
      </w:r>
      <w:r>
        <w:tab/>
        <w:t>Apple Inc.</w:t>
      </w:r>
    </w:p>
    <w:p w14:paraId="0D2061A1" w14:textId="12918911" w:rsidR="00D309CC" w:rsidRDefault="00D309CC" w:rsidP="00D309CC">
      <w:pPr>
        <w:pStyle w:val="CH"/>
      </w:pPr>
      <w:r w:rsidRPr="0008103A">
        <w:t>Title:</w:t>
      </w:r>
      <w:r w:rsidRPr="0008103A">
        <w:tab/>
      </w:r>
      <w:r w:rsidR="00EA5EAF" w:rsidRPr="00EA5EAF">
        <w:t>Band plan for lower 6GHz NR unlicensed operation for Europe</w:t>
      </w:r>
    </w:p>
    <w:p w14:paraId="052B1E0C" w14:textId="7C8BFB25" w:rsidR="00104BC6" w:rsidRDefault="00104BC6" w:rsidP="00D309CC">
      <w:pPr>
        <w:pStyle w:val="CH"/>
      </w:pPr>
      <w:r>
        <w:t>WI/SI:</w:t>
      </w:r>
      <w:r>
        <w:tab/>
      </w:r>
      <w:r w:rsidR="00EA5EAF" w:rsidRPr="00EA5EAF">
        <w:t>NR_6GHz_unlic_EU</w:t>
      </w:r>
    </w:p>
    <w:p w14:paraId="6C6D1281" w14:textId="55AA1C00" w:rsidR="00104BC6" w:rsidRDefault="00104BC6" w:rsidP="00D309CC">
      <w:pPr>
        <w:pStyle w:val="CH"/>
        <w:rPr>
          <w:b w:val="0"/>
        </w:rPr>
      </w:pPr>
      <w:r>
        <w:t>Release:</w:t>
      </w:r>
      <w:r>
        <w:tab/>
      </w:r>
      <w:r w:rsidRPr="00EA5EAF">
        <w:t>Rel-</w:t>
      </w:r>
      <w:r w:rsidR="00EA5EAF" w:rsidRPr="00EA5EAF">
        <w:t>17</w:t>
      </w:r>
    </w:p>
    <w:p w14:paraId="2E4E044D" w14:textId="25C01846" w:rsidR="00D309CC" w:rsidRDefault="00D309CC" w:rsidP="00D309CC">
      <w:pPr>
        <w:pStyle w:val="CH"/>
      </w:pPr>
      <w:r>
        <w:t>Document for:</w:t>
      </w:r>
      <w:r>
        <w:tab/>
      </w:r>
      <w:r w:rsidR="00EA5EAF">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8C46278" w14:textId="7DC250B0" w:rsidR="008A3B4F"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t xml:space="preserve">Referring to the latest </w:t>
      </w:r>
      <w:r w:rsidR="008A3B4F">
        <w:t xml:space="preserve">6GHz </w:t>
      </w:r>
      <w:r>
        <w:t>regulatory status update</w:t>
      </w:r>
      <w:r w:rsidR="00760E53">
        <w:t xml:space="preserve"> </w:t>
      </w:r>
      <w:r w:rsidR="00760E53">
        <w:fldChar w:fldCharType="begin"/>
      </w:r>
      <w:r w:rsidR="00760E53">
        <w:instrText xml:space="preserve"> REF _Ref61460191 \r \h </w:instrText>
      </w:r>
      <w:r w:rsidR="00760E53">
        <w:fldChar w:fldCharType="separate"/>
      </w:r>
      <w:r w:rsidR="00760E53">
        <w:t>[2]</w:t>
      </w:r>
      <w:r w:rsidR="00760E53">
        <w:fldChar w:fldCharType="end"/>
      </w:r>
      <w:r>
        <w:t xml:space="preserve">, FCC approved license-exempt usage in the frequency range of 5925-7125MHz, which has been already reflected by the corresponding 3GPP band n96. </w:t>
      </w:r>
      <w:r w:rsidR="003E1D99">
        <w:t>In addition to that</w:t>
      </w:r>
      <w:r>
        <w:t xml:space="preserve">, </w:t>
      </w:r>
      <w:r w:rsidR="003E1D99">
        <w:t xml:space="preserve">the regulatory framework for </w:t>
      </w:r>
      <w:r>
        <w:t xml:space="preserve">CEPT countries </w:t>
      </w:r>
      <w:r w:rsidR="003E1D99">
        <w:t xml:space="preserve">was completed in November covering </w:t>
      </w:r>
      <w:r w:rsidR="00E8614A">
        <w:t xml:space="preserve">the </w:t>
      </w:r>
      <w:r w:rsidR="003E1D99">
        <w:t>5945-6425MHz frequency range</w:t>
      </w:r>
      <w:r w:rsidR="00E8614A">
        <w:t>.</w:t>
      </w:r>
      <w:r w:rsidR="003E1D99">
        <w:t xml:space="preserve"> </w:t>
      </w:r>
    </w:p>
    <w:p w14:paraId="1D289629" w14:textId="27A65E06" w:rsidR="008E7986" w:rsidRDefault="008A3B4F" w:rsidP="008E7986">
      <w:r>
        <w:t xml:space="preserve">Since the 6GHz regulatory framework for the CEPT countries is completed, 3GPP RAN#90 meeting decided to resume the corresponding WI </w:t>
      </w:r>
      <w:r w:rsidR="00760E53">
        <w:fldChar w:fldCharType="begin"/>
      </w:r>
      <w:r w:rsidR="00760E53">
        <w:instrText xml:space="preserve"> REF _Ref61460200 \r \h </w:instrText>
      </w:r>
      <w:r w:rsidR="00760E53">
        <w:fldChar w:fldCharType="separate"/>
      </w:r>
      <w:r w:rsidR="00760E53">
        <w:t>[3]</w:t>
      </w:r>
      <w:r w:rsidR="00760E53">
        <w:fldChar w:fldCharType="end"/>
      </w:r>
      <w:r>
        <w:t xml:space="preserve"> that aims at adding </w:t>
      </w:r>
      <w:r w:rsidR="00E8614A">
        <w:t xml:space="preserve">3GPP </w:t>
      </w:r>
      <w:r>
        <w:t xml:space="preserve">support </w:t>
      </w:r>
      <w:r w:rsidR="00084063">
        <w:t>for</w:t>
      </w:r>
      <w:r>
        <w:t xml:space="preserve"> the 6GHz band in that regulatory region. And in this discussion paper we present our technical analysis on how this band can be added into the 3GPP specifications. </w:t>
      </w:r>
      <w:r w:rsidR="00C27E2F">
        <w:t xml:space="preserve"> </w:t>
      </w:r>
      <w:r w:rsidR="00CD5E72">
        <w:t xml:space="preserve"> </w:t>
      </w:r>
    </w:p>
    <w:p w14:paraId="06E92CC7" w14:textId="77777777" w:rsidR="008E7986" w:rsidRDefault="008E7986" w:rsidP="008E7986"/>
    <w:p w14:paraId="3A67921B" w14:textId="01BF8B58" w:rsidR="008E7986" w:rsidRDefault="008E7986" w:rsidP="008E7986">
      <w:pPr>
        <w:pStyle w:val="Heading1"/>
      </w:pPr>
      <w:r>
        <w:t>2</w:t>
      </w:r>
      <w:r>
        <w:tab/>
      </w:r>
      <w:r w:rsidR="008A3B4F">
        <w:t xml:space="preserve">6GHz band </w:t>
      </w:r>
      <w:r>
        <w:t xml:space="preserve"> </w:t>
      </w:r>
    </w:p>
    <w:p w14:paraId="7228DA19" w14:textId="04B482C3" w:rsidR="00E72324" w:rsidRDefault="008A3B4F" w:rsidP="00E72324">
      <w:r>
        <w:t xml:space="preserve">As already mentioned in the Introduction part, </w:t>
      </w:r>
      <w:r w:rsidR="0011527E">
        <w:t>while FCC has allocated the full range of 5925-7125MHz to the license-exempt operation in US, CEPT countries will use a smaller portion of the 6GHz band for the unlicensed operation</w:t>
      </w:r>
      <w:r w:rsidR="00E72324">
        <w:t>.</w:t>
      </w:r>
      <w:r w:rsidR="0011527E">
        <w:t xml:space="preserve"> As can be seen from the Figure 1 below, </w:t>
      </w:r>
      <w:r w:rsidR="00E8614A">
        <w:t>CEPT</w:t>
      </w:r>
      <w:r w:rsidR="0011527E">
        <w:t xml:space="preserve"> 6GHz band roughly corresponds to </w:t>
      </w:r>
      <w:r w:rsidR="00084063">
        <w:t xml:space="preserve">US </w:t>
      </w:r>
      <w:r w:rsidR="0011527E">
        <w:t xml:space="preserve">U-NII-5 sub-band with the only difference that </w:t>
      </w:r>
      <w:r w:rsidR="00E8614A">
        <w:t>it</w:t>
      </w:r>
      <w:r w:rsidR="0011527E">
        <w:t xml:space="preserve"> starts </w:t>
      </w:r>
      <w:r w:rsidR="001E28B6">
        <w:t xml:space="preserve">at </w:t>
      </w:r>
      <w:r w:rsidR="0011527E">
        <w:t xml:space="preserve">5945MHz. </w:t>
      </w:r>
      <w:r w:rsidR="00E72324" w:rsidRPr="00E72324">
        <w:t xml:space="preserve"> </w:t>
      </w:r>
    </w:p>
    <w:p w14:paraId="48154E48" w14:textId="20443649" w:rsidR="008A3B4F" w:rsidRDefault="008A3B4F" w:rsidP="00E72324">
      <w:r>
        <w:rPr>
          <w:noProof/>
        </w:rPr>
        <w:drawing>
          <wp:inline distT="0" distB="0" distL="0" distR="0" wp14:anchorId="73E345AA" wp14:editId="06DD4BCD">
            <wp:extent cx="6122035" cy="14852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6122035" cy="1485265"/>
                    </a:xfrm>
                    <a:prstGeom prst="rect">
                      <a:avLst/>
                    </a:prstGeom>
                  </pic:spPr>
                </pic:pic>
              </a:graphicData>
            </a:graphic>
          </wp:inline>
        </w:drawing>
      </w:r>
    </w:p>
    <w:p w14:paraId="295D335C" w14:textId="519CDD60" w:rsidR="008A3B4F" w:rsidRPr="004D3578" w:rsidRDefault="008A3B4F" w:rsidP="008A3B4F">
      <w:pPr>
        <w:pStyle w:val="TF"/>
      </w:pPr>
      <w:r w:rsidRPr="004D3578">
        <w:t xml:space="preserve">Figure </w:t>
      </w:r>
      <w:r w:rsidR="00D36ED8">
        <w:t>2-</w:t>
      </w:r>
      <w:r w:rsidRPr="004D3578">
        <w:t xml:space="preserve">1: </w:t>
      </w:r>
      <w:r>
        <w:t>Overview of the 6GHz unlicensed band in US and EU</w:t>
      </w:r>
      <w:r w:rsidRPr="004D3578">
        <w:t xml:space="preserve">. </w:t>
      </w:r>
    </w:p>
    <w:p w14:paraId="5FF469EC" w14:textId="3BF53DF7" w:rsidR="00271191" w:rsidRDefault="0011527E" w:rsidP="00E72324">
      <w:r>
        <w:t xml:space="preserve">One of the first questions for introduction of the unlicensed operation on the 6GHz band in </w:t>
      </w:r>
      <w:r w:rsidR="00E8614A">
        <w:t xml:space="preserve">CEPT </w:t>
      </w:r>
      <w:proofErr w:type="spellStart"/>
      <w:r w:rsidR="00E8614A">
        <w:t>counries</w:t>
      </w:r>
      <w:proofErr w:type="spellEnd"/>
      <w:r>
        <w:t xml:space="preserve"> is the band plan for the 3GPP specifications. As presented in Figure 1, there already exists band n96 covering the whole frequency range from 5925MHz to 7125MHz. And even though band n96 frequency range follows </w:t>
      </w:r>
      <w:r w:rsidR="00276891">
        <w:t>FCC definition, there is no technical obstacle for using the same band for a sub-range of frequencies</w:t>
      </w:r>
      <w:r w:rsidR="00271191">
        <w:t xml:space="preserve"> used in CEPT countries</w:t>
      </w:r>
      <w:r w:rsidR="00276891">
        <w:t>. In fact, this is quite a common practice for 3GPP when an existing larger band is used to support a smaller band</w:t>
      </w:r>
      <w:r w:rsidR="00271191">
        <w:t xml:space="preserve"> (whereupon a larger and a smaller band can be even in different geographical regions). One of the most recent examples is </w:t>
      </w:r>
      <w:r w:rsidR="00276891">
        <w:t xml:space="preserve">band n77 </w:t>
      </w:r>
      <w:r w:rsidR="00271191">
        <w:t>being</w:t>
      </w:r>
      <w:r w:rsidR="00276891">
        <w:t xml:space="preserve"> </w:t>
      </w:r>
      <w:r w:rsidR="00271191">
        <w:t>leveraged for the C-band</w:t>
      </w:r>
      <w:r w:rsidR="00E8614A">
        <w:t xml:space="preserve"> in US</w:t>
      </w:r>
      <w:r w:rsidR="00271191">
        <w:t xml:space="preserve">. </w:t>
      </w:r>
      <w:r w:rsidR="0053160D">
        <w:t>The fact that CEPT countries have a smaller frequency range should not cause any discrepancies because it is eventually up to the base station configuration on which frequencies NR is configured</w:t>
      </w:r>
      <w:r w:rsidR="00776D5C">
        <w:t>.</w:t>
      </w:r>
      <w:r w:rsidR="0053160D">
        <w:t xml:space="preserve"> </w:t>
      </w:r>
      <w:r w:rsidR="00776D5C">
        <w:t>In other words,</w:t>
      </w:r>
      <w:r w:rsidR="0053160D">
        <w:t xml:space="preserve"> the base station configuration shall anyway follow the local regulatory rules. </w:t>
      </w:r>
      <w:r w:rsidR="00591B63">
        <w:t xml:space="preserve">And from the UE perspective same hardware components will be used with the only difference that a UE will be configured on different channels </w:t>
      </w:r>
      <w:r w:rsidR="00591B63">
        <w:lastRenderedPageBreak/>
        <w:t xml:space="preserve">following what the NR system information broadcasts. </w:t>
      </w:r>
      <w:r w:rsidR="00271191">
        <w:t xml:space="preserve">Thus, having the same band for the license-exempt operation in US and EU will simplify specifications. </w:t>
      </w:r>
    </w:p>
    <w:p w14:paraId="77ADBB70" w14:textId="278B5FF7" w:rsidR="008A3B4F" w:rsidRDefault="00271191" w:rsidP="00271191">
      <w:pPr>
        <w:pStyle w:val="Proposal"/>
      </w:pPr>
      <w:bookmarkStart w:id="1" w:name="_Toc61304321"/>
      <w:bookmarkStart w:id="2" w:name="_Toc61304343"/>
      <w:bookmarkStart w:id="3" w:name="_Toc61460060"/>
      <w:r>
        <w:t>Proposal 1:</w:t>
      </w:r>
      <w:r>
        <w:tab/>
      </w:r>
      <w:r w:rsidR="00776D5C">
        <w:t>Leverage</w:t>
      </w:r>
      <w:r>
        <w:t xml:space="preserve"> existing band n96 to support license-exempt usage of the 6GHz band in CEPT countries.</w:t>
      </w:r>
      <w:bookmarkEnd w:id="1"/>
      <w:bookmarkEnd w:id="2"/>
      <w:bookmarkEnd w:id="3"/>
      <w:r>
        <w:t xml:space="preserve"> </w:t>
      </w:r>
      <w:r w:rsidR="00276891">
        <w:t xml:space="preserve"> </w:t>
      </w:r>
      <w:r w:rsidR="0011527E">
        <w:t xml:space="preserve"> </w:t>
      </w:r>
    </w:p>
    <w:p w14:paraId="7FFCE202" w14:textId="23775BD7" w:rsidR="00776D5C" w:rsidRDefault="00776D5C" w:rsidP="00776D5C"/>
    <w:p w14:paraId="214EEE3D" w14:textId="735F1F66" w:rsidR="00D36ED8" w:rsidRDefault="00776D5C" w:rsidP="00776D5C">
      <w:r>
        <w:t xml:space="preserve">The next question is how to support different regulatory requirements in the US and </w:t>
      </w:r>
      <w:r w:rsidR="00E8614A">
        <w:t xml:space="preserve">CEPT </w:t>
      </w:r>
      <w:r>
        <w:t xml:space="preserve">region for the 6GHz band. The table </w:t>
      </w:r>
      <w:r w:rsidR="00D36ED8">
        <w:t xml:space="preserve">2-1 </w:t>
      </w:r>
      <w:r>
        <w:t>below summarises the m</w:t>
      </w:r>
      <w:r w:rsidR="00D90D08">
        <w:t>ajor differences between FCC and CEPT</w:t>
      </w:r>
      <w:r w:rsidR="00E8614A">
        <w:t xml:space="preserve">, from which it can be seen that </w:t>
      </w:r>
      <w:r w:rsidR="00D90D08">
        <w:t xml:space="preserve">both </w:t>
      </w:r>
      <w:r w:rsidR="00E8614A">
        <w:t>regulatory regions</w:t>
      </w:r>
      <w:r w:rsidR="00D90D08">
        <w:t xml:space="preserve"> define outdoor and indoor operation. However, while FCC defines outdoor operation only for a scenario when AFC is deployed, CEPT rules do not have a notion of AFC limiting instead maximum EIRP and PSD for outdoor operation and making it feasible only for so-called portable devices. For the indoor operation, CEPT allows both </w:t>
      </w:r>
      <w:r w:rsidR="00D94A4B">
        <w:t xml:space="preserve">the </w:t>
      </w:r>
      <w:r w:rsidR="00D90D08">
        <w:t>LPI access point, which is supplied power from a wired connection and is not battery powered, and the LPI client device</w:t>
      </w:r>
      <w:r w:rsidR="008D21DB">
        <w:t>, which is connected to an LPI access point or another LPI client device and may or may be not battery powered.</w:t>
      </w:r>
      <w:r w:rsidR="00D90D08">
        <w:t xml:space="preserve">   </w:t>
      </w:r>
    </w:p>
    <w:p w14:paraId="7243278F" w14:textId="54C5BE9B" w:rsidR="00B55E0F" w:rsidRDefault="00D36ED8" w:rsidP="00D36ED8">
      <w:pPr>
        <w:pStyle w:val="TH"/>
      </w:pPr>
      <w:r w:rsidRPr="004D3578">
        <w:t xml:space="preserve">Table </w:t>
      </w:r>
      <w:r>
        <w:t>2-</w:t>
      </w:r>
      <w:r w:rsidRPr="004D3578">
        <w:t xml:space="preserve">1: </w:t>
      </w:r>
      <w:r>
        <w:t>Summary of CEPT and FCC regulatory requirements.</w:t>
      </w:r>
    </w:p>
    <w:tbl>
      <w:tblPr>
        <w:tblStyle w:val="TableGrid"/>
        <w:tblW w:w="0" w:type="auto"/>
        <w:tblLook w:val="04A0" w:firstRow="1" w:lastRow="0" w:firstColumn="1" w:lastColumn="0" w:noHBand="0" w:noVBand="1"/>
      </w:tblPr>
      <w:tblGrid>
        <w:gridCol w:w="1415"/>
        <w:gridCol w:w="2505"/>
        <w:gridCol w:w="2046"/>
        <w:gridCol w:w="1955"/>
        <w:gridCol w:w="1710"/>
      </w:tblGrid>
      <w:tr w:rsidR="00D90D08" w14:paraId="1DBFC35B" w14:textId="77777777" w:rsidTr="00D029E2">
        <w:tc>
          <w:tcPr>
            <w:tcW w:w="1415" w:type="dxa"/>
            <w:vMerge w:val="restart"/>
          </w:tcPr>
          <w:p w14:paraId="4DDCB4D6" w14:textId="4D7B1D00" w:rsidR="00D90D08" w:rsidRDefault="00D90D08" w:rsidP="00776D5C">
            <w:pPr>
              <w:pStyle w:val="TAH"/>
              <w:rPr>
                <w:lang w:eastAsia="en-JM"/>
              </w:rPr>
            </w:pPr>
            <w:r>
              <w:rPr>
                <w:lang w:eastAsia="en-JM"/>
              </w:rPr>
              <w:t>Parameter</w:t>
            </w:r>
          </w:p>
        </w:tc>
        <w:tc>
          <w:tcPr>
            <w:tcW w:w="4551" w:type="dxa"/>
            <w:gridSpan w:val="2"/>
          </w:tcPr>
          <w:p w14:paraId="0580CD6D" w14:textId="45F5F612" w:rsidR="00D90D08" w:rsidRDefault="00D90D08" w:rsidP="00776D5C">
            <w:pPr>
              <w:pStyle w:val="TAH"/>
              <w:rPr>
                <w:lang w:eastAsia="en-JM"/>
              </w:rPr>
            </w:pPr>
            <w:r>
              <w:rPr>
                <w:lang w:eastAsia="en-JM"/>
              </w:rPr>
              <w:t>CEPT</w:t>
            </w:r>
          </w:p>
        </w:tc>
        <w:tc>
          <w:tcPr>
            <w:tcW w:w="3665" w:type="dxa"/>
            <w:gridSpan w:val="2"/>
          </w:tcPr>
          <w:p w14:paraId="3955703E" w14:textId="6ECD0D12" w:rsidR="00D90D08" w:rsidRDefault="00D90D08" w:rsidP="00776D5C">
            <w:pPr>
              <w:pStyle w:val="TAH"/>
              <w:rPr>
                <w:lang w:eastAsia="en-JM"/>
              </w:rPr>
            </w:pPr>
            <w:r>
              <w:rPr>
                <w:lang w:eastAsia="en-JM"/>
              </w:rPr>
              <w:t>FCC</w:t>
            </w:r>
          </w:p>
        </w:tc>
      </w:tr>
      <w:tr w:rsidR="00D90D08" w14:paraId="0211E066" w14:textId="020D6A12" w:rsidTr="0022448F">
        <w:tc>
          <w:tcPr>
            <w:tcW w:w="1415" w:type="dxa"/>
            <w:vMerge/>
          </w:tcPr>
          <w:p w14:paraId="5F189FBA" w14:textId="08B2C6A3" w:rsidR="00D90D08" w:rsidRDefault="00D90D08" w:rsidP="00776D5C">
            <w:pPr>
              <w:pStyle w:val="TAH"/>
              <w:rPr>
                <w:lang w:eastAsia="en-JM"/>
              </w:rPr>
            </w:pPr>
          </w:p>
        </w:tc>
        <w:tc>
          <w:tcPr>
            <w:tcW w:w="2505" w:type="dxa"/>
          </w:tcPr>
          <w:p w14:paraId="4EB49DAD" w14:textId="63B68F83" w:rsidR="00D90D08" w:rsidRDefault="00D90D08" w:rsidP="00776D5C">
            <w:pPr>
              <w:pStyle w:val="TAH"/>
              <w:rPr>
                <w:lang w:eastAsia="en-JM"/>
              </w:rPr>
            </w:pPr>
            <w:r>
              <w:rPr>
                <w:lang w:eastAsia="en-JM"/>
              </w:rPr>
              <w:t>LPI</w:t>
            </w:r>
          </w:p>
        </w:tc>
        <w:tc>
          <w:tcPr>
            <w:tcW w:w="2046" w:type="dxa"/>
          </w:tcPr>
          <w:p w14:paraId="4EF55563" w14:textId="77CB424A" w:rsidR="00D90D08" w:rsidRDefault="00D90D08" w:rsidP="00776D5C">
            <w:pPr>
              <w:pStyle w:val="TAH"/>
              <w:rPr>
                <w:lang w:eastAsia="en-JM"/>
              </w:rPr>
            </w:pPr>
            <w:r>
              <w:rPr>
                <w:lang w:eastAsia="en-JM"/>
              </w:rPr>
              <w:t>VLP</w:t>
            </w:r>
          </w:p>
        </w:tc>
        <w:tc>
          <w:tcPr>
            <w:tcW w:w="3665" w:type="dxa"/>
            <w:gridSpan w:val="2"/>
          </w:tcPr>
          <w:p w14:paraId="57AAE757" w14:textId="400EA13C" w:rsidR="00D90D08" w:rsidRDefault="00D90D08" w:rsidP="00776D5C">
            <w:pPr>
              <w:pStyle w:val="TAH"/>
              <w:rPr>
                <w:lang w:eastAsia="en-JM"/>
              </w:rPr>
            </w:pPr>
            <w:r>
              <w:rPr>
                <w:lang w:eastAsia="en-JM"/>
              </w:rPr>
              <w:t>U-NII-5</w:t>
            </w:r>
          </w:p>
        </w:tc>
      </w:tr>
      <w:tr w:rsidR="00B55E0F" w14:paraId="12FC92FC" w14:textId="5279D44A" w:rsidTr="00512928">
        <w:tc>
          <w:tcPr>
            <w:tcW w:w="1415" w:type="dxa"/>
          </w:tcPr>
          <w:p w14:paraId="02DA67C6" w14:textId="77777777" w:rsidR="00B55E0F" w:rsidRDefault="00B55E0F" w:rsidP="00776D5C">
            <w:pPr>
              <w:pStyle w:val="TAC"/>
              <w:jc w:val="left"/>
              <w:rPr>
                <w:lang w:eastAsia="en-JM"/>
              </w:rPr>
            </w:pPr>
            <w:r>
              <w:rPr>
                <w:lang w:eastAsia="en-JM"/>
              </w:rPr>
              <w:t>Permissible operation</w:t>
            </w:r>
          </w:p>
        </w:tc>
        <w:tc>
          <w:tcPr>
            <w:tcW w:w="2505" w:type="dxa"/>
          </w:tcPr>
          <w:p w14:paraId="0FCBCBAF" w14:textId="77777777" w:rsidR="00B55E0F" w:rsidRDefault="00B55E0F" w:rsidP="00776D5C">
            <w:pPr>
              <w:pStyle w:val="TAC"/>
              <w:jc w:val="left"/>
              <w:rPr>
                <w:lang w:eastAsia="en-JM"/>
              </w:rPr>
            </w:pPr>
            <w:r>
              <w:rPr>
                <w:lang w:eastAsia="en-JM"/>
              </w:rPr>
              <w:t>Restricted for indoor use only (including trains where metal coated windows (note 1) are fitted and aircraft).</w:t>
            </w:r>
          </w:p>
          <w:p w14:paraId="1851BE41" w14:textId="77777777" w:rsidR="00B55E0F" w:rsidRDefault="00B55E0F" w:rsidP="00776D5C">
            <w:pPr>
              <w:pStyle w:val="TAC"/>
              <w:jc w:val="left"/>
              <w:rPr>
                <w:lang w:eastAsia="en-JM"/>
              </w:rPr>
            </w:pPr>
            <w:r>
              <w:rPr>
                <w:lang w:eastAsia="en-JM"/>
              </w:rPr>
              <w:t>Outdoor use (including in road vehicles) is not permitted.</w:t>
            </w:r>
          </w:p>
        </w:tc>
        <w:tc>
          <w:tcPr>
            <w:tcW w:w="2046" w:type="dxa"/>
          </w:tcPr>
          <w:p w14:paraId="123605AA" w14:textId="77777777" w:rsidR="00B55E0F" w:rsidRDefault="00B55E0F" w:rsidP="00776D5C">
            <w:pPr>
              <w:pStyle w:val="TAC"/>
              <w:jc w:val="left"/>
              <w:rPr>
                <w:lang w:eastAsia="en-JM"/>
              </w:rPr>
            </w:pPr>
            <w:r>
              <w:rPr>
                <w:lang w:eastAsia="en-JM"/>
              </w:rPr>
              <w:t>Indoors and outdoors.</w:t>
            </w:r>
          </w:p>
          <w:p w14:paraId="223F0FD7" w14:textId="77777777" w:rsidR="00B55E0F" w:rsidRDefault="00B55E0F" w:rsidP="00776D5C">
            <w:pPr>
              <w:pStyle w:val="TAC"/>
              <w:jc w:val="left"/>
              <w:rPr>
                <w:lang w:eastAsia="en-JM"/>
              </w:rPr>
            </w:pPr>
            <w:r>
              <w:rPr>
                <w:lang w:eastAsia="en-JM"/>
              </w:rPr>
              <w:t>Use on drones is prohibited.</w:t>
            </w:r>
          </w:p>
          <w:p w14:paraId="1B8C09E1" w14:textId="684F7FC6" w:rsidR="00B55E0F" w:rsidRDefault="00B55E0F" w:rsidP="00776D5C">
            <w:pPr>
              <w:pStyle w:val="TAC"/>
              <w:jc w:val="left"/>
              <w:rPr>
                <w:lang w:eastAsia="en-JM"/>
              </w:rPr>
            </w:pPr>
            <w:r>
              <w:rPr>
                <w:lang w:eastAsia="en-JM"/>
              </w:rPr>
              <w:t>The VLP device is a portable device.</w:t>
            </w:r>
          </w:p>
        </w:tc>
        <w:tc>
          <w:tcPr>
            <w:tcW w:w="3665" w:type="dxa"/>
            <w:gridSpan w:val="2"/>
          </w:tcPr>
          <w:p w14:paraId="4F542E87" w14:textId="77777777" w:rsidR="00B55E0F" w:rsidRDefault="00B55E0F" w:rsidP="00776D5C">
            <w:pPr>
              <w:pStyle w:val="TAC"/>
              <w:jc w:val="left"/>
              <w:rPr>
                <w:lang w:eastAsia="en-JM"/>
              </w:rPr>
            </w:pPr>
            <w:r>
              <w:rPr>
                <w:lang w:eastAsia="en-JM"/>
              </w:rPr>
              <w:t>Outdoor with AFC</w:t>
            </w:r>
          </w:p>
          <w:p w14:paraId="26D20A01" w14:textId="6B89CAF4" w:rsidR="00B55E0F" w:rsidRDefault="00B55E0F" w:rsidP="00776D5C">
            <w:pPr>
              <w:pStyle w:val="TAC"/>
              <w:jc w:val="left"/>
              <w:rPr>
                <w:lang w:eastAsia="en-JM"/>
              </w:rPr>
            </w:pPr>
            <w:r>
              <w:rPr>
                <w:lang w:eastAsia="en-JM"/>
              </w:rPr>
              <w:t>Indoor without AFC</w:t>
            </w:r>
          </w:p>
        </w:tc>
      </w:tr>
      <w:tr w:rsidR="00B55E0F" w14:paraId="5D0AB6D0" w14:textId="289B84CD" w:rsidTr="00C579C4">
        <w:tc>
          <w:tcPr>
            <w:tcW w:w="1415" w:type="dxa"/>
          </w:tcPr>
          <w:p w14:paraId="68DB1C87" w14:textId="77777777" w:rsidR="00B55E0F" w:rsidRDefault="00B55E0F" w:rsidP="00776D5C">
            <w:pPr>
              <w:pStyle w:val="TAC"/>
              <w:jc w:val="left"/>
              <w:rPr>
                <w:lang w:eastAsia="en-JM"/>
              </w:rPr>
            </w:pPr>
            <w:r>
              <w:rPr>
                <w:lang w:eastAsia="en-JM"/>
              </w:rPr>
              <w:t>Frequency band</w:t>
            </w:r>
          </w:p>
        </w:tc>
        <w:tc>
          <w:tcPr>
            <w:tcW w:w="4551" w:type="dxa"/>
            <w:gridSpan w:val="2"/>
          </w:tcPr>
          <w:p w14:paraId="6CE3E55A" w14:textId="576E5A87" w:rsidR="00B55E0F" w:rsidRDefault="00B55E0F" w:rsidP="00776D5C">
            <w:pPr>
              <w:pStyle w:val="TAC"/>
              <w:jc w:val="left"/>
              <w:rPr>
                <w:lang w:eastAsia="en-JM"/>
              </w:rPr>
            </w:pPr>
            <w:r>
              <w:rPr>
                <w:lang w:eastAsia="en-JM"/>
              </w:rPr>
              <w:t>5945</w:t>
            </w:r>
            <w:r w:rsidR="00D90D08">
              <w:rPr>
                <w:lang w:eastAsia="en-JM"/>
              </w:rPr>
              <w:t xml:space="preserve"> </w:t>
            </w:r>
            <w:r>
              <w:rPr>
                <w:lang w:eastAsia="en-JM"/>
              </w:rPr>
              <w:t>-</w:t>
            </w:r>
            <w:r w:rsidR="00D90D08">
              <w:rPr>
                <w:lang w:eastAsia="en-JM"/>
              </w:rPr>
              <w:t xml:space="preserve"> </w:t>
            </w:r>
            <w:r>
              <w:rPr>
                <w:lang w:eastAsia="en-JM"/>
              </w:rPr>
              <w:t>6425MHz</w:t>
            </w:r>
          </w:p>
          <w:p w14:paraId="490A0858" w14:textId="7DE2A0C8" w:rsidR="00B55E0F" w:rsidRDefault="00B55E0F" w:rsidP="00776D5C">
            <w:pPr>
              <w:pStyle w:val="TAC"/>
              <w:jc w:val="left"/>
              <w:rPr>
                <w:lang w:eastAsia="en-JM"/>
              </w:rPr>
            </w:pPr>
          </w:p>
        </w:tc>
        <w:tc>
          <w:tcPr>
            <w:tcW w:w="3665" w:type="dxa"/>
            <w:gridSpan w:val="2"/>
          </w:tcPr>
          <w:p w14:paraId="71427586" w14:textId="24752FF0" w:rsidR="00B55E0F" w:rsidRDefault="00B55E0F" w:rsidP="00776D5C">
            <w:pPr>
              <w:pStyle w:val="TAC"/>
              <w:jc w:val="left"/>
              <w:rPr>
                <w:lang w:eastAsia="en-JM"/>
              </w:rPr>
            </w:pPr>
            <w:r>
              <w:rPr>
                <w:lang w:eastAsia="en-JM"/>
              </w:rPr>
              <w:t>5925</w:t>
            </w:r>
            <w:r w:rsidR="00D90D08">
              <w:rPr>
                <w:lang w:eastAsia="en-JM"/>
              </w:rPr>
              <w:t xml:space="preserve"> </w:t>
            </w:r>
            <w:r>
              <w:rPr>
                <w:lang w:eastAsia="en-JM"/>
              </w:rPr>
              <w:t>-</w:t>
            </w:r>
            <w:r w:rsidR="00D90D08">
              <w:rPr>
                <w:lang w:eastAsia="en-JM"/>
              </w:rPr>
              <w:t xml:space="preserve"> </w:t>
            </w:r>
            <w:r>
              <w:rPr>
                <w:lang w:eastAsia="en-JM"/>
              </w:rPr>
              <w:t>6425MHz</w:t>
            </w:r>
          </w:p>
        </w:tc>
      </w:tr>
      <w:tr w:rsidR="00B55E0F" w14:paraId="13A2EC4F" w14:textId="1697ED7D" w:rsidTr="00B55E0F">
        <w:tc>
          <w:tcPr>
            <w:tcW w:w="1415" w:type="dxa"/>
          </w:tcPr>
          <w:p w14:paraId="3F2F4F0C" w14:textId="77777777" w:rsidR="00B55E0F" w:rsidRDefault="00B55E0F" w:rsidP="00776D5C">
            <w:pPr>
              <w:pStyle w:val="TAC"/>
              <w:jc w:val="left"/>
              <w:rPr>
                <w:lang w:eastAsia="en-JM"/>
              </w:rPr>
            </w:pPr>
            <w:r>
              <w:rPr>
                <w:lang w:eastAsia="en-JM"/>
              </w:rPr>
              <w:t>Maximum mean EIRP for in-band emissions (note 2)</w:t>
            </w:r>
          </w:p>
        </w:tc>
        <w:tc>
          <w:tcPr>
            <w:tcW w:w="2505" w:type="dxa"/>
          </w:tcPr>
          <w:p w14:paraId="14F84605" w14:textId="77777777" w:rsidR="00B55E0F" w:rsidRDefault="00B55E0F" w:rsidP="00776D5C">
            <w:pPr>
              <w:pStyle w:val="TAC"/>
              <w:jc w:val="left"/>
              <w:rPr>
                <w:lang w:eastAsia="en-JM"/>
              </w:rPr>
            </w:pPr>
            <w:r>
              <w:rPr>
                <w:lang w:eastAsia="en-JM"/>
              </w:rPr>
              <w:t>23 dBm</w:t>
            </w:r>
          </w:p>
        </w:tc>
        <w:tc>
          <w:tcPr>
            <w:tcW w:w="2046" w:type="dxa"/>
          </w:tcPr>
          <w:p w14:paraId="5EEF2075" w14:textId="382D586A" w:rsidR="00B55E0F" w:rsidRDefault="00B55E0F" w:rsidP="00776D5C">
            <w:pPr>
              <w:pStyle w:val="TAC"/>
              <w:jc w:val="left"/>
              <w:rPr>
                <w:lang w:eastAsia="en-JM"/>
              </w:rPr>
            </w:pPr>
            <w:r>
              <w:rPr>
                <w:lang w:eastAsia="en-JM"/>
              </w:rPr>
              <w:t>14 dBm</w:t>
            </w:r>
          </w:p>
        </w:tc>
        <w:tc>
          <w:tcPr>
            <w:tcW w:w="1955" w:type="dxa"/>
          </w:tcPr>
          <w:p w14:paraId="70255B0B" w14:textId="7E69770D" w:rsidR="00B55E0F" w:rsidRDefault="00B55E0F" w:rsidP="00776D5C">
            <w:pPr>
              <w:pStyle w:val="TAC"/>
              <w:jc w:val="left"/>
              <w:rPr>
                <w:lang w:eastAsia="en-JM"/>
              </w:rPr>
            </w:pPr>
            <w:r>
              <w:rPr>
                <w:lang w:eastAsia="en-JM"/>
              </w:rPr>
              <w:t>36dBm</w:t>
            </w:r>
          </w:p>
        </w:tc>
        <w:tc>
          <w:tcPr>
            <w:tcW w:w="1710" w:type="dxa"/>
          </w:tcPr>
          <w:p w14:paraId="5D7E8723" w14:textId="486A433E" w:rsidR="00B55E0F" w:rsidRDefault="00B55E0F" w:rsidP="00776D5C">
            <w:pPr>
              <w:pStyle w:val="TAC"/>
              <w:jc w:val="left"/>
              <w:rPr>
                <w:lang w:eastAsia="en-JM"/>
              </w:rPr>
            </w:pPr>
            <w:r>
              <w:rPr>
                <w:lang w:eastAsia="en-JM"/>
              </w:rPr>
              <w:t>30dBm</w:t>
            </w:r>
          </w:p>
        </w:tc>
      </w:tr>
      <w:tr w:rsidR="00B55E0F" w14:paraId="120147E0" w14:textId="5A13226E" w:rsidTr="00B55E0F">
        <w:tc>
          <w:tcPr>
            <w:tcW w:w="1415" w:type="dxa"/>
          </w:tcPr>
          <w:p w14:paraId="6C5058E8" w14:textId="77777777" w:rsidR="00B55E0F" w:rsidRDefault="00B55E0F" w:rsidP="00776D5C">
            <w:pPr>
              <w:pStyle w:val="TAC"/>
              <w:jc w:val="left"/>
              <w:rPr>
                <w:lang w:eastAsia="en-JM"/>
              </w:rPr>
            </w:pPr>
            <w:r>
              <w:rPr>
                <w:lang w:eastAsia="en-JM"/>
              </w:rPr>
              <w:t>Maximum mean EIRP density for in-band emissions (note 2)</w:t>
            </w:r>
          </w:p>
        </w:tc>
        <w:tc>
          <w:tcPr>
            <w:tcW w:w="2505" w:type="dxa"/>
          </w:tcPr>
          <w:p w14:paraId="616F9DB0" w14:textId="77777777" w:rsidR="00B55E0F" w:rsidRDefault="00B55E0F" w:rsidP="00776D5C">
            <w:pPr>
              <w:pStyle w:val="TAC"/>
              <w:jc w:val="left"/>
              <w:rPr>
                <w:lang w:eastAsia="en-JM"/>
              </w:rPr>
            </w:pPr>
            <w:r>
              <w:rPr>
                <w:lang w:eastAsia="en-JM"/>
              </w:rPr>
              <w:t>10 dBm/MHz</w:t>
            </w:r>
          </w:p>
        </w:tc>
        <w:tc>
          <w:tcPr>
            <w:tcW w:w="2046" w:type="dxa"/>
          </w:tcPr>
          <w:p w14:paraId="6E5181A5" w14:textId="3EA5B027" w:rsidR="00B55E0F" w:rsidRDefault="00B55E0F" w:rsidP="00776D5C">
            <w:pPr>
              <w:pStyle w:val="TAC"/>
              <w:jc w:val="left"/>
              <w:rPr>
                <w:lang w:eastAsia="en-JM"/>
              </w:rPr>
            </w:pPr>
            <w:r>
              <w:rPr>
                <w:lang w:eastAsia="en-JM"/>
              </w:rPr>
              <w:t>1 dBm/MHz</w:t>
            </w:r>
          </w:p>
        </w:tc>
        <w:tc>
          <w:tcPr>
            <w:tcW w:w="1955" w:type="dxa"/>
          </w:tcPr>
          <w:p w14:paraId="2334EFC6" w14:textId="0F21C895" w:rsidR="00B55E0F" w:rsidRDefault="00B55E0F" w:rsidP="00776D5C">
            <w:pPr>
              <w:pStyle w:val="TAC"/>
              <w:jc w:val="left"/>
              <w:rPr>
                <w:lang w:eastAsia="en-JM"/>
              </w:rPr>
            </w:pPr>
            <w:r>
              <w:rPr>
                <w:lang w:eastAsia="en-JM"/>
              </w:rPr>
              <w:t>10 dBm/MHz</w:t>
            </w:r>
          </w:p>
        </w:tc>
        <w:tc>
          <w:tcPr>
            <w:tcW w:w="1710" w:type="dxa"/>
          </w:tcPr>
          <w:p w14:paraId="2B1CB233" w14:textId="641F3D9C" w:rsidR="00B55E0F" w:rsidRDefault="00B55E0F" w:rsidP="00776D5C">
            <w:pPr>
              <w:pStyle w:val="TAC"/>
              <w:jc w:val="left"/>
              <w:rPr>
                <w:lang w:eastAsia="en-JM"/>
              </w:rPr>
            </w:pPr>
            <w:r>
              <w:rPr>
                <w:lang w:eastAsia="en-JM"/>
              </w:rPr>
              <w:t>-1 dBm/MHz</w:t>
            </w:r>
          </w:p>
        </w:tc>
      </w:tr>
      <w:tr w:rsidR="00B55E0F" w14:paraId="6AA94F46" w14:textId="06ED1903" w:rsidTr="00532DAB">
        <w:tc>
          <w:tcPr>
            <w:tcW w:w="1415" w:type="dxa"/>
          </w:tcPr>
          <w:p w14:paraId="562F152B" w14:textId="547D40BF" w:rsidR="00B55E0F" w:rsidRDefault="00B55E0F" w:rsidP="00776D5C">
            <w:pPr>
              <w:pStyle w:val="TAC"/>
              <w:jc w:val="left"/>
              <w:rPr>
                <w:lang w:eastAsia="en-JM"/>
              </w:rPr>
            </w:pPr>
            <w:r>
              <w:rPr>
                <w:lang w:eastAsia="en-JM"/>
              </w:rPr>
              <w:t xml:space="preserve">Maximum mean EIRP density for out-of-band emissions </w:t>
            </w:r>
          </w:p>
        </w:tc>
        <w:tc>
          <w:tcPr>
            <w:tcW w:w="2505" w:type="dxa"/>
          </w:tcPr>
          <w:p w14:paraId="09FD18D6" w14:textId="77777777" w:rsidR="00B55E0F" w:rsidRDefault="00B55E0F" w:rsidP="00776D5C">
            <w:pPr>
              <w:pStyle w:val="TAC"/>
              <w:jc w:val="left"/>
              <w:rPr>
                <w:lang w:eastAsia="en-JM"/>
              </w:rPr>
            </w:pPr>
            <w:r>
              <w:rPr>
                <w:lang w:eastAsia="en-JM"/>
              </w:rPr>
              <w:t xml:space="preserve">-22 dBm/MHz </w:t>
            </w:r>
          </w:p>
          <w:p w14:paraId="674C06AF" w14:textId="641EBB1C" w:rsidR="00B55E0F" w:rsidRDefault="00B55E0F" w:rsidP="00776D5C">
            <w:pPr>
              <w:pStyle w:val="TAC"/>
              <w:jc w:val="left"/>
              <w:rPr>
                <w:lang w:eastAsia="en-JM"/>
              </w:rPr>
            </w:pPr>
            <w:r>
              <w:rPr>
                <w:lang w:eastAsia="en-JM"/>
              </w:rPr>
              <w:t>(below 5935MHz)</w:t>
            </w:r>
          </w:p>
        </w:tc>
        <w:tc>
          <w:tcPr>
            <w:tcW w:w="2046" w:type="dxa"/>
          </w:tcPr>
          <w:p w14:paraId="584BB903" w14:textId="77777777" w:rsidR="00B55E0F" w:rsidRDefault="00B55E0F" w:rsidP="00776D5C">
            <w:pPr>
              <w:pStyle w:val="TAC"/>
              <w:jc w:val="left"/>
              <w:rPr>
                <w:lang w:eastAsia="en-JM"/>
              </w:rPr>
            </w:pPr>
            <w:r>
              <w:rPr>
                <w:lang w:eastAsia="en-JM"/>
              </w:rPr>
              <w:t>-45 dBm/MHz</w:t>
            </w:r>
          </w:p>
          <w:p w14:paraId="7DC9B71E" w14:textId="77777777" w:rsidR="00B55E0F" w:rsidRDefault="00B55E0F" w:rsidP="00776D5C">
            <w:pPr>
              <w:pStyle w:val="TAC"/>
              <w:jc w:val="left"/>
              <w:rPr>
                <w:lang w:eastAsia="en-JM"/>
              </w:rPr>
            </w:pPr>
            <w:r>
              <w:rPr>
                <w:lang w:eastAsia="en-JM"/>
              </w:rPr>
              <w:t>(below 5935MHz)</w:t>
            </w:r>
          </w:p>
          <w:p w14:paraId="3E4C3106" w14:textId="77777777" w:rsidR="00D90D08" w:rsidRDefault="00D90D08" w:rsidP="00776D5C">
            <w:pPr>
              <w:pStyle w:val="TAC"/>
              <w:jc w:val="left"/>
              <w:rPr>
                <w:lang w:eastAsia="en-JM"/>
              </w:rPr>
            </w:pPr>
          </w:p>
          <w:p w14:paraId="1726003A" w14:textId="65A79A86" w:rsidR="00D90D08" w:rsidRDefault="00D90D08" w:rsidP="00776D5C">
            <w:pPr>
              <w:pStyle w:val="TAC"/>
              <w:jc w:val="left"/>
              <w:rPr>
                <w:lang w:eastAsia="en-JM"/>
              </w:rPr>
            </w:pPr>
            <w:r w:rsidRPr="00D90D08">
              <w:rPr>
                <w:lang w:eastAsia="en-JM"/>
              </w:rPr>
              <w:t xml:space="preserve">ECC will study the appropriateness of this level of OOBE by 31/12/2024. In absence of the justified evidence, a value of -37 dBm/MHz will be adopted from 01/01/2025.  </w:t>
            </w:r>
          </w:p>
        </w:tc>
        <w:tc>
          <w:tcPr>
            <w:tcW w:w="3665" w:type="dxa"/>
            <w:gridSpan w:val="2"/>
          </w:tcPr>
          <w:p w14:paraId="38495862" w14:textId="77777777" w:rsidR="00B55E0F" w:rsidRDefault="00B55E0F" w:rsidP="00776D5C">
            <w:pPr>
              <w:pStyle w:val="TAC"/>
              <w:jc w:val="left"/>
              <w:rPr>
                <w:lang w:eastAsia="en-JM"/>
              </w:rPr>
            </w:pPr>
            <w:r>
              <w:rPr>
                <w:lang w:eastAsia="en-JM"/>
              </w:rPr>
              <w:t>-27 dBm/MHz</w:t>
            </w:r>
          </w:p>
          <w:p w14:paraId="50E52A55" w14:textId="596A0CE3" w:rsidR="00B55E0F" w:rsidRDefault="00B55E0F" w:rsidP="00776D5C">
            <w:pPr>
              <w:pStyle w:val="TAC"/>
              <w:jc w:val="left"/>
              <w:rPr>
                <w:lang w:eastAsia="en-JM"/>
              </w:rPr>
            </w:pPr>
            <w:r>
              <w:rPr>
                <w:lang w:eastAsia="en-JM"/>
              </w:rPr>
              <w:t>(below 5925MHz)</w:t>
            </w:r>
          </w:p>
        </w:tc>
      </w:tr>
    </w:tbl>
    <w:p w14:paraId="67EA0AEC" w14:textId="18B1FCA4" w:rsidR="00776D5C" w:rsidRDefault="00776D5C" w:rsidP="00776D5C"/>
    <w:p w14:paraId="7F35F18C" w14:textId="782B868E" w:rsidR="00776D5C" w:rsidRDefault="00D36ED8" w:rsidP="00776D5C">
      <w:r>
        <w:t>It is worth noting that the 3GPP specifications already have the corresponding NS flags</w:t>
      </w:r>
      <w:r w:rsidR="007C2E55">
        <w:t xml:space="preserve"> – </w:t>
      </w:r>
      <w:r>
        <w:t>NS53 and NS54 – to support indoor and outdoor operation on U-NII-5</w:t>
      </w:r>
      <w:r w:rsidR="00084063">
        <w:t>.</w:t>
      </w:r>
      <w:r>
        <w:t xml:space="preserve"> </w:t>
      </w:r>
      <w:r w:rsidR="00084063">
        <w:t>T</w:t>
      </w:r>
      <w:r>
        <w:t>hus</w:t>
      </w:r>
      <w:r w:rsidR="00084063">
        <w:t>,</w:t>
      </w:r>
      <w:r>
        <w:t xml:space="preserve"> the same principle can be followed to support CEPT requirements. </w:t>
      </w:r>
      <w:r w:rsidR="00D94A4B">
        <w:t>Furthermore, w</w:t>
      </w:r>
      <w:r w:rsidR="007C2E55">
        <w:t xml:space="preserve">hat 3GPP should </w:t>
      </w:r>
      <w:r w:rsidR="00D94A4B">
        <w:t xml:space="preserve">also </w:t>
      </w:r>
      <w:r w:rsidR="007C2E55">
        <w:t xml:space="preserve">discuss </w:t>
      </w:r>
      <w:r w:rsidR="00D94A4B">
        <w:t xml:space="preserve">is </w:t>
      </w:r>
      <w:r w:rsidR="007C2E55">
        <w:t xml:space="preserve">whether we can focus only on LPI case or both LPI and VLP can be supported. LPI is the major use case for 3GPP NR-U because the </w:t>
      </w:r>
      <w:r w:rsidR="00084063">
        <w:t xml:space="preserve">CEPT </w:t>
      </w:r>
      <w:r w:rsidR="007C2E55">
        <w:t xml:space="preserve">regulatory rules allow using access points which are not battery powered but rather are supplied with power from a wired connection. On the contrary to it, VLP devices are portable ones, which most likely would exclude </w:t>
      </w:r>
      <w:r w:rsidR="00760E53">
        <w:t xml:space="preserve">the </w:t>
      </w:r>
      <w:r w:rsidR="007C2E55">
        <w:t>NR-U base station</w:t>
      </w:r>
      <w:r w:rsidR="00760E53">
        <w:t>s</w:t>
      </w:r>
      <w:r w:rsidR="007C2E55">
        <w:t xml:space="preserve">. </w:t>
      </w:r>
    </w:p>
    <w:p w14:paraId="2E22800C" w14:textId="17703CCB" w:rsidR="00D36ED8" w:rsidRDefault="00D36ED8" w:rsidP="00D36ED8">
      <w:pPr>
        <w:pStyle w:val="Proposal"/>
      </w:pPr>
      <w:bookmarkStart w:id="4" w:name="_Toc61460061"/>
      <w:r>
        <w:t>Proposal 2a:</w:t>
      </w:r>
      <w:r>
        <w:tab/>
        <w:t>Introduce new NS flag(s) to support CEPT regulatory requirements on the 3GPP band n96 (6GHz band).</w:t>
      </w:r>
      <w:bookmarkEnd w:id="4"/>
      <w:r>
        <w:t xml:space="preserve">   </w:t>
      </w:r>
    </w:p>
    <w:p w14:paraId="7C9720A6" w14:textId="3C4F7EDB" w:rsidR="00D36ED8" w:rsidRDefault="00D36ED8" w:rsidP="00D36ED8">
      <w:pPr>
        <w:pStyle w:val="Proposal"/>
      </w:pPr>
      <w:bookmarkStart w:id="5" w:name="_Toc61460062"/>
      <w:r>
        <w:t>Proposal 2b:</w:t>
      </w:r>
      <w:r>
        <w:tab/>
        <w:t xml:space="preserve">Discuss further whether 3GPP specifications have to support </w:t>
      </w:r>
      <w:r w:rsidR="007C2E55">
        <w:t>CEPT VLP</w:t>
      </w:r>
      <w:r>
        <w:t>.</w:t>
      </w:r>
      <w:bookmarkEnd w:id="5"/>
      <w:r>
        <w:t xml:space="preserve">   </w:t>
      </w:r>
    </w:p>
    <w:p w14:paraId="0684C266" w14:textId="77777777" w:rsidR="00D36ED8" w:rsidRDefault="00D36ED8" w:rsidP="00776D5C"/>
    <w:p w14:paraId="62E2E073" w14:textId="77777777" w:rsidR="008E7986" w:rsidRDefault="008E7986" w:rsidP="008E7986"/>
    <w:p w14:paraId="34C99636" w14:textId="77777777" w:rsidR="008E7986" w:rsidRDefault="008E7986" w:rsidP="008E7986">
      <w:pPr>
        <w:pStyle w:val="Heading1"/>
      </w:pPr>
      <w:r>
        <w:t>3</w:t>
      </w:r>
      <w:r>
        <w:tab/>
        <w:t>Conclusions</w:t>
      </w:r>
    </w:p>
    <w:p w14:paraId="6F3027FC" w14:textId="7F6A8BEA" w:rsidR="00BA300B" w:rsidRDefault="00760E53" w:rsidP="00E72324">
      <w:r>
        <w:t>In this discussion paper we have presented our initial views on the 6GHz unlicensed operation in CEPT countries and how the CEPT regulatory requirements can be supported in the 3GPP specifications</w:t>
      </w:r>
      <w:r w:rsidR="00F70647">
        <w:t>.</w:t>
      </w:r>
      <w:r>
        <w:t xml:space="preserve"> Our technical understanding is that existing 3GPP band n96 can be leveraged to support the 6GHz band in CEPT countries, for which the corresponding NS flag(s) will be added to differentiate between FCC and CEPT requirements.</w:t>
      </w:r>
    </w:p>
    <w:p w14:paraId="358695E8" w14:textId="77777777" w:rsidR="00F55949" w:rsidRDefault="00F55949" w:rsidP="00E72324"/>
    <w:p w14:paraId="088C1854" w14:textId="77777777" w:rsidR="00760E53"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760E53">
        <w:rPr>
          <w:noProof/>
        </w:rPr>
        <w:t>Proposal 1:</w:t>
      </w:r>
      <w:r w:rsidR="00760E53">
        <w:rPr>
          <w:rFonts w:asciiTheme="minorHAnsi" w:eastAsiaTheme="minorEastAsia" w:hAnsiTheme="minorHAnsi" w:cstheme="minorBidi"/>
          <w:b w:val="0"/>
          <w:bCs w:val="0"/>
          <w:noProof/>
          <w:sz w:val="24"/>
          <w:szCs w:val="24"/>
          <w:lang w:val="en-DE" w:eastAsia="ko-KR"/>
        </w:rPr>
        <w:tab/>
      </w:r>
      <w:r w:rsidR="00760E53">
        <w:rPr>
          <w:noProof/>
        </w:rPr>
        <w:t>Leverage existing band n96 to support license-exempt usage of the 6GHz band in CEPT countries.</w:t>
      </w:r>
    </w:p>
    <w:p w14:paraId="018DF9E7" w14:textId="77777777" w:rsidR="00760E53" w:rsidRDefault="00760E53">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Introduce new NS flag(s) to support CEPT regulatory requirements on the 3GPP band n96 (6GHz band).</w:t>
      </w:r>
    </w:p>
    <w:p w14:paraId="3EB8CCEA" w14:textId="77777777" w:rsidR="00760E53" w:rsidRDefault="00760E53">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Discuss further whether 3GPP specifications have to support CEPT VLP.</w:t>
      </w:r>
    </w:p>
    <w:p w14:paraId="05CC6F0A" w14:textId="5299F71D" w:rsidR="005E69AE" w:rsidRDefault="0062595A" w:rsidP="00D94A4B">
      <w:r>
        <w:rPr>
          <w:b/>
          <w:bCs/>
        </w:rPr>
        <w:fldChar w:fldCharType="end"/>
      </w:r>
    </w:p>
    <w:p w14:paraId="4D133CD8" w14:textId="38C1E41E" w:rsidR="00276EE4" w:rsidRPr="003A0483" w:rsidRDefault="00D94A4B" w:rsidP="00C27E2F">
      <w:pPr>
        <w:pStyle w:val="Heading1"/>
      </w:pPr>
      <w:r>
        <w:t>3</w:t>
      </w:r>
      <w:r w:rsidR="005E69AE">
        <w:tab/>
        <w:t>References</w:t>
      </w:r>
    </w:p>
    <w:p w14:paraId="02656AEC" w14:textId="4AE3597E" w:rsidR="005E69AE" w:rsidRPr="004D3578" w:rsidRDefault="00C27E2F" w:rsidP="00276EE4">
      <w:pPr>
        <w:pStyle w:val="EX"/>
      </w:pPr>
      <w:bookmarkStart w:id="6" w:name="_Ref61300565"/>
      <w:r w:rsidRPr="00C27E2F">
        <w:t>RP-1912926, "WID on NR-based Access to Unlicensed Spectrum ", Qualcomm Inc.</w:t>
      </w:r>
      <w:bookmarkEnd w:id="6"/>
    </w:p>
    <w:p w14:paraId="731905A1" w14:textId="4F58A6FE" w:rsidR="005E69AE" w:rsidRDefault="00D94A4B" w:rsidP="005E69AE">
      <w:pPr>
        <w:pStyle w:val="EX"/>
      </w:pPr>
      <w:bookmarkStart w:id="7" w:name="_Ref61460191"/>
      <w:r>
        <w:t>3GPP TR 37.890, "</w:t>
      </w:r>
      <w:r w:rsidRPr="00D94A4B">
        <w:t>Feasibility Study on 6 GHz for LTE and NR in Licensed and Unlicensed Operations</w:t>
      </w:r>
      <w:r>
        <w:t>", v0.10.0</w:t>
      </w:r>
      <w:bookmarkEnd w:id="7"/>
    </w:p>
    <w:p w14:paraId="170B3485" w14:textId="175AAA7B" w:rsidR="00D94A4B" w:rsidRPr="004D3578" w:rsidRDefault="00760E53" w:rsidP="005E69AE">
      <w:pPr>
        <w:pStyle w:val="EX"/>
      </w:pPr>
      <w:bookmarkStart w:id="8" w:name="_Ref61460200"/>
      <w:r w:rsidRPr="00760E53">
        <w:t>RP‐202592</w:t>
      </w:r>
      <w:r>
        <w:t>, "</w:t>
      </w:r>
      <w:r w:rsidRPr="00760E53">
        <w:t>WID on introduction of lower 6GHz NR unlicensed operation for Europe</w:t>
      </w:r>
      <w:r>
        <w:t>", Nokia, Nokia Shanghai Bell</w:t>
      </w:r>
      <w:bookmarkEnd w:id="8"/>
    </w:p>
    <w:bookmarkEnd w:id="0"/>
    <w:p w14:paraId="2C7BC95E" w14:textId="77777777" w:rsidR="00080512" w:rsidRDefault="00080512"/>
    <w:sectPr w:rsidR="00080512"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83194" w14:textId="77777777" w:rsidR="00EA606C" w:rsidRDefault="00EA606C">
      <w:r>
        <w:separator/>
      </w:r>
    </w:p>
  </w:endnote>
  <w:endnote w:type="continuationSeparator" w:id="0">
    <w:p w14:paraId="031A3A76" w14:textId="77777777" w:rsidR="00EA606C" w:rsidRDefault="00EA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129AC" w14:textId="77777777" w:rsidR="00EA606C" w:rsidRDefault="00EA606C">
      <w:r>
        <w:separator/>
      </w:r>
    </w:p>
  </w:footnote>
  <w:footnote w:type="continuationSeparator" w:id="0">
    <w:p w14:paraId="6EA3BC52" w14:textId="77777777" w:rsidR="00EA606C" w:rsidRDefault="00EA6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063"/>
    <w:rsid w:val="000A365D"/>
    <w:rsid w:val="000A68F3"/>
    <w:rsid w:val="000C47C3"/>
    <w:rsid w:val="000D58AB"/>
    <w:rsid w:val="00104BC6"/>
    <w:rsid w:val="00114E2C"/>
    <w:rsid w:val="0011527E"/>
    <w:rsid w:val="00130A82"/>
    <w:rsid w:val="00133525"/>
    <w:rsid w:val="001A4C42"/>
    <w:rsid w:val="001C21C3"/>
    <w:rsid w:val="001C7417"/>
    <w:rsid w:val="001D02C2"/>
    <w:rsid w:val="001E28B6"/>
    <w:rsid w:val="001F0C1D"/>
    <w:rsid w:val="001F1132"/>
    <w:rsid w:val="001F168B"/>
    <w:rsid w:val="002347A2"/>
    <w:rsid w:val="00247926"/>
    <w:rsid w:val="002675F0"/>
    <w:rsid w:val="00271191"/>
    <w:rsid w:val="00276891"/>
    <w:rsid w:val="00276EE4"/>
    <w:rsid w:val="002B6339"/>
    <w:rsid w:val="002E00EE"/>
    <w:rsid w:val="003172DC"/>
    <w:rsid w:val="0034052F"/>
    <w:rsid w:val="0035462D"/>
    <w:rsid w:val="003765B8"/>
    <w:rsid w:val="003A0483"/>
    <w:rsid w:val="003C3971"/>
    <w:rsid w:val="003E1D99"/>
    <w:rsid w:val="003E7753"/>
    <w:rsid w:val="00423334"/>
    <w:rsid w:val="004345EC"/>
    <w:rsid w:val="004826A9"/>
    <w:rsid w:val="004C1601"/>
    <w:rsid w:val="004D3578"/>
    <w:rsid w:val="004E213A"/>
    <w:rsid w:val="004F0988"/>
    <w:rsid w:val="004F3340"/>
    <w:rsid w:val="004F3E3D"/>
    <w:rsid w:val="0053160D"/>
    <w:rsid w:val="0053388B"/>
    <w:rsid w:val="00535773"/>
    <w:rsid w:val="00543E6C"/>
    <w:rsid w:val="00565087"/>
    <w:rsid w:val="00572E14"/>
    <w:rsid w:val="00591B63"/>
    <w:rsid w:val="005973BE"/>
    <w:rsid w:val="005A5986"/>
    <w:rsid w:val="005D2E01"/>
    <w:rsid w:val="005D7526"/>
    <w:rsid w:val="005E69AE"/>
    <w:rsid w:val="00602AEA"/>
    <w:rsid w:val="00607E3C"/>
    <w:rsid w:val="00614FDF"/>
    <w:rsid w:val="006246A7"/>
    <w:rsid w:val="0062595A"/>
    <w:rsid w:val="0063543D"/>
    <w:rsid w:val="00647114"/>
    <w:rsid w:val="006761D8"/>
    <w:rsid w:val="006A323F"/>
    <w:rsid w:val="006B30D0"/>
    <w:rsid w:val="006C3D95"/>
    <w:rsid w:val="006E5C86"/>
    <w:rsid w:val="00713C44"/>
    <w:rsid w:val="00734A5B"/>
    <w:rsid w:val="0074026F"/>
    <w:rsid w:val="007429F6"/>
    <w:rsid w:val="00744E76"/>
    <w:rsid w:val="00752198"/>
    <w:rsid w:val="00753881"/>
    <w:rsid w:val="00760E53"/>
    <w:rsid w:val="00774DA4"/>
    <w:rsid w:val="00776D5C"/>
    <w:rsid w:val="00781F0F"/>
    <w:rsid w:val="007A00B1"/>
    <w:rsid w:val="007B600E"/>
    <w:rsid w:val="007C2E55"/>
    <w:rsid w:val="007F0F4A"/>
    <w:rsid w:val="008028A4"/>
    <w:rsid w:val="00820B25"/>
    <w:rsid w:val="00830747"/>
    <w:rsid w:val="008601C0"/>
    <w:rsid w:val="008768CA"/>
    <w:rsid w:val="008A3B4F"/>
    <w:rsid w:val="008C384C"/>
    <w:rsid w:val="008D21DB"/>
    <w:rsid w:val="008E7986"/>
    <w:rsid w:val="0090271F"/>
    <w:rsid w:val="00902E23"/>
    <w:rsid w:val="009114D7"/>
    <w:rsid w:val="0091348E"/>
    <w:rsid w:val="00917CCB"/>
    <w:rsid w:val="00942EC2"/>
    <w:rsid w:val="009F37B7"/>
    <w:rsid w:val="009F5E43"/>
    <w:rsid w:val="00A10F02"/>
    <w:rsid w:val="00A164B4"/>
    <w:rsid w:val="00A26956"/>
    <w:rsid w:val="00A53724"/>
    <w:rsid w:val="00A73129"/>
    <w:rsid w:val="00A82346"/>
    <w:rsid w:val="00A92BA1"/>
    <w:rsid w:val="00AC6BC6"/>
    <w:rsid w:val="00AE3797"/>
    <w:rsid w:val="00B15449"/>
    <w:rsid w:val="00B4625D"/>
    <w:rsid w:val="00B51BD2"/>
    <w:rsid w:val="00B55E0F"/>
    <w:rsid w:val="00B93086"/>
    <w:rsid w:val="00BA19ED"/>
    <w:rsid w:val="00BA300B"/>
    <w:rsid w:val="00BA4B8D"/>
    <w:rsid w:val="00BC0F7D"/>
    <w:rsid w:val="00BE3255"/>
    <w:rsid w:val="00BF128E"/>
    <w:rsid w:val="00C1496A"/>
    <w:rsid w:val="00C27E2F"/>
    <w:rsid w:val="00C33079"/>
    <w:rsid w:val="00C45231"/>
    <w:rsid w:val="00C72833"/>
    <w:rsid w:val="00C80F1D"/>
    <w:rsid w:val="00C93F40"/>
    <w:rsid w:val="00CA3D0C"/>
    <w:rsid w:val="00CD5E72"/>
    <w:rsid w:val="00CF20E3"/>
    <w:rsid w:val="00D309CC"/>
    <w:rsid w:val="00D36ED8"/>
    <w:rsid w:val="00D46431"/>
    <w:rsid w:val="00D56A52"/>
    <w:rsid w:val="00D57972"/>
    <w:rsid w:val="00D675A9"/>
    <w:rsid w:val="00D738D6"/>
    <w:rsid w:val="00D755EB"/>
    <w:rsid w:val="00D87E00"/>
    <w:rsid w:val="00D90D08"/>
    <w:rsid w:val="00D9134D"/>
    <w:rsid w:val="00D94A4B"/>
    <w:rsid w:val="00DA0655"/>
    <w:rsid w:val="00DA7A03"/>
    <w:rsid w:val="00DB1818"/>
    <w:rsid w:val="00DC309B"/>
    <w:rsid w:val="00DC4DA2"/>
    <w:rsid w:val="00DD4C17"/>
    <w:rsid w:val="00DF2B1F"/>
    <w:rsid w:val="00DF6189"/>
    <w:rsid w:val="00DF62CD"/>
    <w:rsid w:val="00E16509"/>
    <w:rsid w:val="00E44582"/>
    <w:rsid w:val="00E52814"/>
    <w:rsid w:val="00E72324"/>
    <w:rsid w:val="00E72ABE"/>
    <w:rsid w:val="00E77645"/>
    <w:rsid w:val="00E8614A"/>
    <w:rsid w:val="00EA5EAF"/>
    <w:rsid w:val="00EA606C"/>
    <w:rsid w:val="00EC4A25"/>
    <w:rsid w:val="00EE5AA7"/>
    <w:rsid w:val="00F025A2"/>
    <w:rsid w:val="00F04712"/>
    <w:rsid w:val="00F21311"/>
    <w:rsid w:val="00F22EC7"/>
    <w:rsid w:val="00F325C8"/>
    <w:rsid w:val="00F55949"/>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121</TotalTime>
  <Pages>3</Pages>
  <Words>1036</Words>
  <Characters>5907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18</cp:revision>
  <cp:lastPrinted>2019-02-25T14:05:00Z</cp:lastPrinted>
  <dcterms:created xsi:type="dcterms:W3CDTF">2021-01-11T21:29:00Z</dcterms:created>
  <dcterms:modified xsi:type="dcterms:W3CDTF">2021-01-15T12:19:00Z</dcterms:modified>
  <cp:category/>
</cp:coreProperties>
</file>